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44BD9516" w:rsidR="00D32BC2" w:rsidRDefault="00DE381A" w:rsidP="009B1F0D">
      <w:pPr>
        <w:ind w:left="-284" w:right="-575"/>
      </w:pPr>
      <w:r>
        <w:t>Comunicado de prensa n.º 2</w:t>
      </w:r>
      <w:r w:rsidR="002371DE">
        <w:t>5</w:t>
      </w:r>
      <w:r>
        <w:t xml:space="preserve">/2022      </w:t>
      </w:r>
    </w:p>
    <w:p w14:paraId="10888997" w14:textId="77777777" w:rsidR="008C7E75" w:rsidRPr="004E5222" w:rsidRDefault="008C7E75" w:rsidP="009B1F0D">
      <w:pPr>
        <w:ind w:left="-284" w:right="-575"/>
        <w:rPr>
          <w:rFonts w:cs="Times New Roman"/>
        </w:rPr>
      </w:pPr>
    </w:p>
    <w:p w14:paraId="3A99C4A3" w14:textId="77777777" w:rsidR="002371DE" w:rsidRPr="000C0317" w:rsidRDefault="002371DE" w:rsidP="002371DE">
      <w:pPr>
        <w:ind w:left="-284" w:right="283"/>
        <w:jc w:val="both"/>
        <w:rPr>
          <w:b/>
          <w:bCs/>
          <w:sz w:val="28"/>
          <w:szCs w:val="28"/>
        </w:rPr>
      </w:pPr>
      <w:r>
        <w:rPr>
          <w:b/>
          <w:sz w:val="28"/>
        </w:rPr>
        <w:t>Industria italiana: crece el volumen de ventas, a pesar de la situación económica</w:t>
      </w:r>
    </w:p>
    <w:p w14:paraId="38196793" w14:textId="77777777" w:rsidR="002371DE" w:rsidRPr="000C0317" w:rsidRDefault="002371DE" w:rsidP="002371DE">
      <w:pPr>
        <w:ind w:left="-284" w:right="283"/>
        <w:jc w:val="both"/>
        <w:rPr>
          <w:b/>
          <w:bCs/>
        </w:rPr>
      </w:pPr>
    </w:p>
    <w:p w14:paraId="41A73B62" w14:textId="77777777" w:rsidR="002371DE" w:rsidRPr="000C0317" w:rsidRDefault="002371DE" w:rsidP="002371DE">
      <w:pPr>
        <w:ind w:left="-284" w:right="283"/>
        <w:jc w:val="both"/>
        <w:rPr>
          <w:b/>
          <w:bCs/>
          <w:i/>
          <w:iCs/>
        </w:rPr>
      </w:pPr>
      <w:r>
        <w:rPr>
          <w:b/>
          <w:i/>
        </w:rPr>
        <w:t xml:space="preserve">Las previsiones de FederUnacoma para finales de año indican una disminución de las cantidades producidas (-6 %), pero un aumento del valor de la producción (14.200 millones de euros, lo que suponen un aumento del 2,7 % con respecto a 2021). La resistencia del mercado interior y, sobre todo, el buen comportamiento de las exportaciones (+10,4 % en julio) permiten que el sector aguante a pesar de la crisis de los costes de producción y de la menor capacidad de gasto de las empresas agrícolas.  </w:t>
      </w:r>
    </w:p>
    <w:p w14:paraId="479DF54B" w14:textId="77777777" w:rsidR="002371DE" w:rsidRPr="000C0317" w:rsidRDefault="002371DE" w:rsidP="002371DE">
      <w:pPr>
        <w:ind w:left="-284" w:right="283"/>
        <w:jc w:val="both"/>
        <w:rPr>
          <w:i/>
          <w:iCs/>
        </w:rPr>
      </w:pPr>
    </w:p>
    <w:p w14:paraId="11D81E28" w14:textId="77777777" w:rsidR="002371DE" w:rsidRPr="000C0317" w:rsidRDefault="002371DE" w:rsidP="002371DE">
      <w:pPr>
        <w:ind w:left="-284" w:right="283"/>
        <w:jc w:val="both"/>
      </w:pPr>
      <w:r>
        <w:t xml:space="preserve">La resistencia del mercado interior y la buena demanda de los mercados exteriores han permitido que la industria italiana de máquinas agrícolas haya mantenido unos buenos niveles de producción y, por lo tanto, haya confirmado su liderazgo en ámbito internacional. Las matriculaciones en el mercado interior se han mantenido en buenos niveles –inferiores al año récord 2021, pero superiores a la media de los años anteriores– y las exportaciones siguen siendo el punto fuerte de la industria italiana. </w:t>
      </w:r>
    </w:p>
    <w:p w14:paraId="233372DB" w14:textId="77777777" w:rsidR="002371DE" w:rsidRDefault="002371DE" w:rsidP="002371DE">
      <w:pPr>
        <w:ind w:left="-284" w:right="283"/>
        <w:jc w:val="both"/>
      </w:pPr>
      <w:r>
        <w:rPr>
          <w:b/>
        </w:rPr>
        <w:t>Los datos de Instituto Nacional de Estadística Italiano (ISTAT) sobre comercio exterior indican, para los siete meses de enero a julio, un aumento de las exportaciones en valor, tanto para los tractores</w:t>
      </w:r>
      <w:r>
        <w:t xml:space="preserve"> </w:t>
      </w:r>
      <w:r>
        <w:rPr>
          <w:b/>
        </w:rPr>
        <w:t>(+2,13 %</w:t>
      </w:r>
      <w:r>
        <w:t xml:space="preserve"> respecto al mismo periodo de 2021, a pesar de </w:t>
      </w:r>
      <w:r>
        <w:rPr>
          <w:b/>
        </w:rPr>
        <w:t>una disminución del número de unidades del 20 %</w:t>
      </w:r>
      <w:r>
        <w:t>)</w:t>
      </w:r>
      <w:r>
        <w:rPr>
          <w:b/>
        </w:rPr>
        <w:t>, como para otros de tipos de máquinas (+13,6 % en valor y +0,34 % en número de unidades).</w:t>
      </w:r>
      <w:r>
        <w:t xml:space="preserve"> En los siete primeros meses de este año, las exportaciones italianas en el sector de la mecánica agrícola han alcanzado un crecimiento total, en valor, del 10,4 %, frente a una reducción en cantidad de apenas el 2,5 %. </w:t>
      </w:r>
      <w:r>
        <w:rPr>
          <w:b/>
        </w:rPr>
        <w:t>Los principales mercados a los que se exporta siguen siendo Estados Unidos, Francia y Alemania, pero también crecen las ventas a Polonia (+26 %), Rumanía (+37 %) y Hungría (+46 %).</w:t>
      </w:r>
      <w:r>
        <w:t xml:space="preserve"> </w:t>
      </w:r>
      <w:r>
        <w:rPr>
          <w:b/>
        </w:rPr>
        <w:t>El aumento del volumen de ventas,</w:t>
      </w:r>
      <w:r>
        <w:t xml:space="preserve"> a pesar de la reducción de las cantidades exportadas, </w:t>
      </w:r>
      <w:r>
        <w:rPr>
          <w:b/>
        </w:rPr>
        <w:t>debe atribuirse al aumento de los precios del catálogo</w:t>
      </w:r>
      <w:r>
        <w:t xml:space="preserve">, y este desajuste debería mantenerse también en el </w:t>
      </w:r>
      <w:r>
        <w:rPr>
          <w:b/>
        </w:rPr>
        <w:t>balance a finales del año</w:t>
      </w:r>
      <w:r>
        <w:t xml:space="preserve">. Así pues, se estima que la producción italiana </w:t>
      </w:r>
      <w:r>
        <w:rPr>
          <w:b/>
        </w:rPr>
        <w:t>disminuirá un 6 % en cantidad</w:t>
      </w:r>
      <w:r>
        <w:t xml:space="preserve">, pero que </w:t>
      </w:r>
      <w:r>
        <w:rPr>
          <w:b/>
        </w:rPr>
        <w:t>aumentará en facturación</w:t>
      </w:r>
      <w:r>
        <w:t xml:space="preserve">, que será de </w:t>
      </w:r>
      <w:r>
        <w:rPr>
          <w:b/>
        </w:rPr>
        <w:t>14.200 millones de euros</w:t>
      </w:r>
      <w:r>
        <w:t xml:space="preserve">, un resultado mejor que el del año récord 2021, que fue de 13.700 millones de euros, un + 3,7 % con respecto a 2020. En la facturación para finales de 2022 repercutirá </w:t>
      </w:r>
      <w:r>
        <w:rPr>
          <w:b/>
        </w:rPr>
        <w:t>el buen comportamiento del sector del mantenimiento del verde,</w:t>
      </w:r>
      <w:r>
        <w:t xml:space="preserve"> con niveles de producción similares a los del año pasado por un valor de </w:t>
      </w:r>
      <w:r>
        <w:rPr>
          <w:b/>
        </w:rPr>
        <w:t>alrededor de mil millones de euros</w:t>
      </w:r>
      <w:r>
        <w:t xml:space="preserve">, y sobre todo, por la evolución del sector de los componentes, que se espera alcance una facturación de 3.400 millones a finales de año. “Por muy reactiva y eficaz que sea la industria italiana –ha dicho el presidente de la federación de fabricantes italianos FederUnacoma, Alessandro Malavolti– no es ajena a la desfavorable situación económica ni a todos aquellos factores que afectan a las empresas en esta difícil fase”. En la primavera de este año, el precio de la energía registró un impresionante aumento del 400 % respecto a los precios de la primavera de 2020. La crisis energética es especialmente grave en Europa, donde a raíz del conflicto entre Rusia y Ucrania se ha producido una auténtica “guerra del gas” que ha enfrentado aquel país a la Unión Europea. “Son conocidas las iniciativas tomadas por los gobiernos y la Unión Europea en su conjunto para diversificar el aprovisionamiento y frenar la subida de precios –ha explicado Malavolti–, iniciativas que han empezado a dar sus frutos (una disminución de los precios del 10 % desde septiembre y la perspectiva de nuevas bajadas en los </w:t>
      </w:r>
    </w:p>
    <w:p w14:paraId="6C7EB46D" w14:textId="77777777" w:rsidR="002371DE" w:rsidRDefault="002371DE" w:rsidP="002371DE">
      <w:pPr>
        <w:ind w:left="-284" w:right="283"/>
        <w:jc w:val="both"/>
      </w:pPr>
    </w:p>
    <w:p w14:paraId="52F98003" w14:textId="77777777" w:rsidR="002371DE" w:rsidRDefault="002371DE" w:rsidP="002371DE">
      <w:pPr>
        <w:ind w:left="-284" w:right="283"/>
        <w:jc w:val="both"/>
      </w:pPr>
    </w:p>
    <w:p w14:paraId="2B09AB31" w14:textId="53DCA6D8" w:rsidR="002371DE" w:rsidRPr="00D9223E" w:rsidRDefault="002371DE" w:rsidP="002371DE">
      <w:pPr>
        <w:ind w:left="-284" w:right="283"/>
        <w:jc w:val="both"/>
      </w:pPr>
      <w:r>
        <w:lastRenderedPageBreak/>
        <w:t>próximos meses), pero que no son suficientes ni para que los precios vuelvan a los niveles de los últimos veinte años ni para que tengan efectos permanentes en las cuentas de las empresas manufactureras, que, por lo tanto, sufren el aumento de los costes de producción y esto repercute en los precios de catálogo de las máquinas agrícolas”. En consecuencia, también aumentan los costes de producción de las empresas agrícolas, que están pagando muy cara la energía, pero también los fertilizantes y los productos químicos. Los precios de los fertilizantes han aumentado de forma impredecible desde la primavera debido al bloqueo de las importaciones de Rusia, que con 16 millones de toneladas de fertilizante era, con diferencia, el mayor proveedor de la Unión Europea. En junio de este año, los productos químicos registraron aumentos de entre el 100 % y el 150 % con respecto a junio de 2020, los mayores desde 2000. Incluso si disminuyen en los próximos meses, los precios de los productos químicos (y, por lo tanto, los productos químicos específicos para los tratamientos agrícolas) están destinados a mantenerse en niveles significativamente más altos que antes de la covid. “</w:t>
      </w:r>
      <w:r>
        <w:rPr>
          <w:b/>
        </w:rPr>
        <w:t>Para reducir la brecha cada vez mayor entre los costes industriales y la capacidad de inversión de las empresas agrícolas –ha dicho el presidente Malavolti– es fundamental el apoyo público destinado a incentivar las compras, tanto a nivel italiano como europeo, con un abanico de herramientas específicas para la mecanización agrícola</w:t>
      </w:r>
      <w:r>
        <w:t>”.</w:t>
      </w:r>
    </w:p>
    <w:p w14:paraId="4B4D34D8" w14:textId="77777777" w:rsidR="004C1D86" w:rsidRPr="008C7E75" w:rsidRDefault="004C1D86" w:rsidP="009B1F0D">
      <w:pPr>
        <w:spacing w:before="120" w:after="120"/>
        <w:ind w:left="-284" w:right="-575"/>
        <w:jc w:val="both"/>
        <w:rPr>
          <w:rFonts w:cs="Times New Roman"/>
          <w:b/>
          <w:bCs/>
          <w:color w:val="333333"/>
          <w:sz w:val="22"/>
          <w:szCs w:val="22"/>
          <w:shd w:val="clear" w:color="auto" w:fill="FFFFFF"/>
        </w:rPr>
      </w:pPr>
    </w:p>
    <w:p w14:paraId="13F5521F" w14:textId="332EFAE5" w:rsidR="00840A91" w:rsidRPr="008A586F" w:rsidRDefault="009B1F0D" w:rsidP="008A586F">
      <w:pPr>
        <w:spacing w:before="120" w:after="120"/>
        <w:ind w:left="-284" w:right="-575"/>
        <w:jc w:val="both"/>
        <w:rPr>
          <w:rFonts w:cs="Times New Roman"/>
          <w:sz w:val="22"/>
          <w:szCs w:val="22"/>
        </w:rPr>
      </w:pPr>
      <w:r>
        <w:rPr>
          <w:b/>
          <w:color w:val="333333"/>
          <w:sz w:val="22"/>
        </w:rPr>
        <w:t>Bolonia, 8 de noviembre de 2022</w:t>
      </w:r>
    </w:p>
    <w:sectPr w:rsidR="00840A91" w:rsidRPr="008A586F" w:rsidSect="005D773D">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5F9A9" w14:textId="77777777" w:rsidR="003A46D2" w:rsidRDefault="003A46D2">
      <w:r>
        <w:separator/>
      </w:r>
    </w:p>
  </w:endnote>
  <w:endnote w:type="continuationSeparator" w:id="0">
    <w:p w14:paraId="2DD53B93" w14:textId="77777777" w:rsidR="003A46D2" w:rsidRDefault="003A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259B9" w14:textId="77777777" w:rsidR="003A46D2" w:rsidRDefault="003A46D2">
      <w:r>
        <w:separator/>
      </w:r>
    </w:p>
  </w:footnote>
  <w:footnote w:type="continuationSeparator" w:id="0">
    <w:p w14:paraId="5F2500EE" w14:textId="77777777" w:rsidR="003A46D2" w:rsidRDefault="003A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9836CD">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rPr>
                                  <w:fldChar w:fldCharType="begin"/>
                                </w:r>
                                <w:r>
                                  <w:instrText>PAGE    \* MERGEFORMAT</w:instrText>
                                </w:r>
                                <w:r>
                                  <w:rPr>
                                    <w:color w:val="auto"/>
                                    <w:sz w:val="22"/>
                                  </w:rPr>
                                  <w:fldChar w:fldCharType="separate"/>
                                </w:r>
                                <w:r w:rsidR="007E1FF9" w:rsidRPr="007E1FF9">
                                  <w:rPr>
                                    <w:rStyle w:val="Numeropagina"/>
                                    <w:b/>
                                    <w:noProof/>
                                    <w:color w:val="3F3151" w:themeColor="accent4" w:themeShade="7F"/>
                                    <w:sz w:val="16"/>
                                  </w:rPr>
                                  <w:t>1</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7E1FF9" w:rsidRPr="007E1FF9">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sidR="009836CD">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9836CD">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9836CD">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7E1FF9">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7E1FF9">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371DE"/>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46D2"/>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1A4E"/>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1FF9"/>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C7E75"/>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836CD"/>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s-E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s-E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s-E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s-E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customStyle="1" w:styleId="Menzionenonrisolta2">
    <w:name w:val="Menzione non risolta2"/>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FFEB0-FA84-4517-A733-A1E06D4F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4498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2022-11-09T16:15:00Z</dcterms:created>
  <dcterms:modified xsi:type="dcterms:W3CDTF">2022-11-09T16:15:00Z</dcterms:modified>
</cp:coreProperties>
</file>